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B934" w14:textId="77777777" w:rsidR="00305E01" w:rsidRDefault="00305E01"/>
    <w:p w14:paraId="226C9E63" w14:textId="77777777" w:rsidR="000001E7" w:rsidRPr="00765EDC" w:rsidRDefault="000001E7" w:rsidP="00765EDC">
      <w:pPr>
        <w:jc w:val="center"/>
        <w:rPr>
          <w:b/>
          <w:sz w:val="24"/>
          <w:szCs w:val="24"/>
        </w:rPr>
      </w:pPr>
      <w:r w:rsidRPr="00765EDC">
        <w:rPr>
          <w:b/>
          <w:sz w:val="24"/>
          <w:szCs w:val="24"/>
        </w:rPr>
        <w:t>Dia Mundial do Vento</w:t>
      </w:r>
    </w:p>
    <w:p w14:paraId="43CE8535" w14:textId="2D535DC8" w:rsidR="002153B9" w:rsidRDefault="003A67B1" w:rsidP="003A67B1">
      <w:pPr>
        <w:widowControl w:val="0"/>
        <w:spacing w:line="240" w:lineRule="auto"/>
        <w:jc w:val="center"/>
        <w:rPr>
          <w:b/>
          <w:sz w:val="36"/>
          <w:szCs w:val="36"/>
        </w:rPr>
      </w:pPr>
      <w:r w:rsidRPr="003A67B1">
        <w:rPr>
          <w:b/>
          <w:sz w:val="36"/>
          <w:szCs w:val="36"/>
        </w:rPr>
        <w:t>Produção de energia eólica em Portugal aumentou em 2024, mas faltam novos projetos para atingir meta</w:t>
      </w:r>
      <w:r>
        <w:rPr>
          <w:b/>
          <w:sz w:val="36"/>
          <w:szCs w:val="36"/>
        </w:rPr>
        <w:t>s</w:t>
      </w:r>
    </w:p>
    <w:p w14:paraId="553FDF20" w14:textId="77777777" w:rsidR="003A67B1" w:rsidRDefault="003A67B1" w:rsidP="003A67B1">
      <w:pPr>
        <w:widowControl w:val="0"/>
        <w:spacing w:line="240" w:lineRule="auto"/>
        <w:jc w:val="center"/>
        <w:rPr>
          <w:b/>
          <w:sz w:val="36"/>
          <w:szCs w:val="36"/>
        </w:rPr>
      </w:pPr>
    </w:p>
    <w:p w14:paraId="126F504B" w14:textId="1DBF022F" w:rsidR="00153D11" w:rsidRPr="002153B9" w:rsidRDefault="002153B9" w:rsidP="002153B9">
      <w:pPr>
        <w:widowControl w:val="0"/>
        <w:jc w:val="center"/>
        <w:rPr>
          <w:b/>
          <w:u w:val="single"/>
        </w:rPr>
      </w:pPr>
      <w:r w:rsidRPr="002153B9">
        <w:rPr>
          <w:b/>
          <w:u w:val="single"/>
        </w:rPr>
        <w:t>Novo relatório</w:t>
      </w:r>
      <w:r w:rsidR="003A67B1">
        <w:rPr>
          <w:b/>
          <w:u w:val="single"/>
        </w:rPr>
        <w:t xml:space="preserve"> conjunto da APREN e do INEGI</w:t>
      </w:r>
      <w:r w:rsidRPr="002153B9">
        <w:rPr>
          <w:b/>
          <w:u w:val="single"/>
        </w:rPr>
        <w:t xml:space="preserve"> mostra que cerca de metade da nova capacidade instalada em 2024 resulta apenas de reequipamentos. </w:t>
      </w:r>
    </w:p>
    <w:p w14:paraId="2C4685A8" w14:textId="77777777" w:rsidR="00153D11" w:rsidRPr="00153D11" w:rsidRDefault="00153D11" w:rsidP="00153D11">
      <w:pPr>
        <w:widowControl w:val="0"/>
        <w:jc w:val="both"/>
        <w:rPr>
          <w:b/>
        </w:rPr>
      </w:pPr>
    </w:p>
    <w:p w14:paraId="1846D5A5" w14:textId="77777777" w:rsidR="00F06AF5" w:rsidRDefault="00F06AF5" w:rsidP="009576B9">
      <w:pPr>
        <w:widowControl w:val="0"/>
        <w:jc w:val="both"/>
        <w:rPr>
          <w:b/>
        </w:rPr>
        <w:sectPr w:rsidR="00F06AF5" w:rsidSect="00216F6F">
          <w:head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1330EA8" w14:textId="330FB52B" w:rsidR="009576B9" w:rsidRDefault="00153D11" w:rsidP="009576B9">
      <w:pPr>
        <w:widowControl w:val="0"/>
        <w:jc w:val="both"/>
        <w:rPr>
          <w:bCs/>
        </w:rPr>
      </w:pPr>
      <w:r w:rsidRPr="00153D11">
        <w:rPr>
          <w:b/>
        </w:rPr>
        <w:t>Lisboa, 1</w:t>
      </w:r>
      <w:r w:rsidR="002153B9">
        <w:rPr>
          <w:b/>
        </w:rPr>
        <w:t>5</w:t>
      </w:r>
      <w:r w:rsidRPr="00153D11">
        <w:rPr>
          <w:b/>
        </w:rPr>
        <w:t xml:space="preserve"> de </w:t>
      </w:r>
      <w:r w:rsidR="002153B9">
        <w:rPr>
          <w:b/>
        </w:rPr>
        <w:t>junho</w:t>
      </w:r>
      <w:r w:rsidRPr="00153D11">
        <w:rPr>
          <w:b/>
        </w:rPr>
        <w:t xml:space="preserve"> de 2025 </w:t>
      </w:r>
      <w:r>
        <w:rPr>
          <w:b/>
        </w:rPr>
        <w:t>–</w:t>
      </w:r>
      <w:r w:rsidR="002153B9">
        <w:rPr>
          <w:bCs/>
        </w:rPr>
        <w:t xml:space="preserve"> </w:t>
      </w:r>
      <w:r w:rsidR="009576B9" w:rsidRPr="009576B9">
        <w:rPr>
          <w:bCs/>
        </w:rPr>
        <w:t xml:space="preserve">No Dia Mundial do Vento, a </w:t>
      </w:r>
      <w:hyperlink r:id="rId10" w:history="1">
        <w:r w:rsidR="009576B9" w:rsidRPr="00541019">
          <w:rPr>
            <w:rStyle w:val="Hiperligao"/>
            <w:b/>
          </w:rPr>
          <w:t>APREN</w:t>
        </w:r>
        <w:r w:rsidR="009576B9" w:rsidRPr="00541019">
          <w:rPr>
            <w:rStyle w:val="Hiperligao"/>
            <w:bCs/>
          </w:rPr>
          <w:t xml:space="preserve"> – Associação Portuguesa de Energias Renováveis</w:t>
        </w:r>
      </w:hyperlink>
      <w:r w:rsidR="009576B9" w:rsidRPr="009576B9">
        <w:rPr>
          <w:bCs/>
        </w:rPr>
        <w:t xml:space="preserve"> e o </w:t>
      </w:r>
      <w:hyperlink r:id="rId11" w:history="1">
        <w:r w:rsidR="009576B9" w:rsidRPr="00541019">
          <w:rPr>
            <w:rStyle w:val="Hiperligao"/>
            <w:b/>
          </w:rPr>
          <w:t>INEGI</w:t>
        </w:r>
        <w:r w:rsidR="009576B9" w:rsidRPr="00541019">
          <w:rPr>
            <w:rStyle w:val="Hiperligao"/>
            <w:bCs/>
          </w:rPr>
          <w:t xml:space="preserve"> – Instituto de Ciência e Inovação em Engenharia Mecânica e Engenharia Industrial</w:t>
        </w:r>
      </w:hyperlink>
      <w:r w:rsidR="009576B9" w:rsidRPr="009576B9">
        <w:rPr>
          <w:bCs/>
        </w:rPr>
        <w:t xml:space="preserve"> divulga</w:t>
      </w:r>
      <w:r w:rsidR="009576B9">
        <w:rPr>
          <w:bCs/>
        </w:rPr>
        <w:t>m</w:t>
      </w:r>
      <w:r w:rsidR="009576B9" w:rsidRPr="009576B9">
        <w:rPr>
          <w:bCs/>
        </w:rPr>
        <w:t xml:space="preserve"> </w:t>
      </w:r>
      <w:r w:rsidR="009576B9">
        <w:rPr>
          <w:bCs/>
        </w:rPr>
        <w:t>o novo</w:t>
      </w:r>
      <w:r w:rsidR="009576B9" w:rsidRPr="009576B9">
        <w:rPr>
          <w:bCs/>
        </w:rPr>
        <w:t xml:space="preserve"> relatório “Parques Eólicos em Portugal”, desenvolvido no âmbito do projeto conjunto e2p – Energia Endógena Portugal</w:t>
      </w:r>
      <w:r w:rsidR="009576B9">
        <w:rPr>
          <w:bCs/>
        </w:rPr>
        <w:t xml:space="preserve">, </w:t>
      </w:r>
      <w:r w:rsidR="009576B9" w:rsidRPr="002153B9">
        <w:rPr>
          <w:bCs/>
        </w:rPr>
        <w:t>que atualiza os dados sobre a evolução da energia eólica no país.</w:t>
      </w:r>
      <w:r w:rsidR="009576B9">
        <w:rPr>
          <w:bCs/>
        </w:rPr>
        <w:t xml:space="preserve"> </w:t>
      </w:r>
      <w:r w:rsidR="002153B9" w:rsidRPr="002153B9">
        <w:rPr>
          <w:bCs/>
        </w:rPr>
        <w:t>Os resultados mostram que, apesar de um ligeiro crescimento da capacidade instalada, Portugal continua</w:t>
      </w:r>
      <w:r w:rsidR="00FD0A8B">
        <w:rPr>
          <w:bCs/>
        </w:rPr>
        <w:t xml:space="preserve"> </w:t>
      </w:r>
      <w:r w:rsidR="002153B9" w:rsidRPr="002153B9">
        <w:rPr>
          <w:bCs/>
        </w:rPr>
        <w:t>aquém do necessário para alcançar as metas definidas no Plano Nacional Energia e Clima 2030 (PNEC 2030).</w:t>
      </w:r>
      <w:r w:rsidR="009576B9" w:rsidRPr="009576B9">
        <w:rPr>
          <w:bCs/>
        </w:rPr>
        <w:t xml:space="preserve"> </w:t>
      </w:r>
    </w:p>
    <w:p w14:paraId="29B95A47" w14:textId="77777777" w:rsidR="003A67B1" w:rsidRDefault="003A67B1" w:rsidP="009576B9">
      <w:pPr>
        <w:widowControl w:val="0"/>
        <w:jc w:val="both"/>
        <w:rPr>
          <w:bCs/>
        </w:rPr>
      </w:pPr>
    </w:p>
    <w:p w14:paraId="7BD88F67" w14:textId="744D8E6C" w:rsidR="003A67B1" w:rsidRDefault="003A67B1" w:rsidP="003A67B1">
      <w:pPr>
        <w:widowControl w:val="0"/>
        <w:jc w:val="both"/>
        <w:rPr>
          <w:bCs/>
        </w:rPr>
      </w:pPr>
      <w:r>
        <w:rPr>
          <w:bCs/>
        </w:rPr>
        <w:t xml:space="preserve">De acordo com este relatório, </w:t>
      </w:r>
      <w:r w:rsidRPr="003A67B1">
        <w:rPr>
          <w:bCs/>
        </w:rPr>
        <w:t xml:space="preserve">Portugal </w:t>
      </w:r>
      <w:r>
        <w:rPr>
          <w:bCs/>
        </w:rPr>
        <w:t>tinha, no final de 2024,</w:t>
      </w:r>
      <w:r w:rsidRPr="003A67B1">
        <w:rPr>
          <w:bCs/>
        </w:rPr>
        <w:t xml:space="preserve"> </w:t>
      </w:r>
      <w:r w:rsidR="00216F6F">
        <w:rPr>
          <w:bCs/>
        </w:rPr>
        <w:t>2.936</w:t>
      </w:r>
      <w:r w:rsidRPr="003A67B1">
        <w:rPr>
          <w:bCs/>
        </w:rPr>
        <w:t xml:space="preserve"> aerogeradores espalhados por todo o território, </w:t>
      </w:r>
      <w:r>
        <w:rPr>
          <w:bCs/>
        </w:rPr>
        <w:t>a produzir</w:t>
      </w:r>
      <w:r w:rsidRPr="003A67B1">
        <w:rPr>
          <w:bCs/>
        </w:rPr>
        <w:t xml:space="preserve"> o equivalente a mais de um quarto da eletricidade </w:t>
      </w:r>
      <w:r w:rsidR="006741A6">
        <w:rPr>
          <w:bCs/>
        </w:rPr>
        <w:t xml:space="preserve">no país </w:t>
      </w:r>
      <w:r w:rsidRPr="003A67B1">
        <w:rPr>
          <w:bCs/>
        </w:rPr>
        <w:t>(27,5%). A esmagadora maioria destes equipamentos localiza-se no Continente, sendo que Viseu é o distrito com maior potência instalada de energia eólica.</w:t>
      </w:r>
    </w:p>
    <w:p w14:paraId="7BE1C744" w14:textId="77777777" w:rsidR="003A67B1" w:rsidRDefault="003A67B1" w:rsidP="003A67B1">
      <w:pPr>
        <w:widowControl w:val="0"/>
        <w:jc w:val="both"/>
        <w:rPr>
          <w:bCs/>
        </w:rPr>
      </w:pPr>
    </w:p>
    <w:p w14:paraId="2890F74A" w14:textId="17FAD7DF" w:rsidR="003A67B1" w:rsidRPr="003A67B1" w:rsidRDefault="003A67B1" w:rsidP="003A67B1">
      <w:pPr>
        <w:widowControl w:val="0"/>
        <w:jc w:val="both"/>
        <w:rPr>
          <w:bCs/>
        </w:rPr>
      </w:pPr>
      <w:r w:rsidRPr="003A67B1">
        <w:rPr>
          <w:bCs/>
        </w:rPr>
        <w:t xml:space="preserve">O relatório compara também a capacidade instalada nacional com a dos países europeus analisados. Portugal ocupa o 10.º </w:t>
      </w:r>
      <w:r w:rsidR="006741A6">
        <w:rPr>
          <w:bCs/>
        </w:rPr>
        <w:t xml:space="preserve">lugar </w:t>
      </w:r>
      <w:r w:rsidRPr="003A67B1">
        <w:rPr>
          <w:bCs/>
        </w:rPr>
        <w:t>com maior potência eólica. Encabeça esta lista a Alemanha, com 72,7 GW.</w:t>
      </w:r>
    </w:p>
    <w:p w14:paraId="5C6B9923" w14:textId="77777777" w:rsidR="003A67B1" w:rsidRPr="003A67B1" w:rsidRDefault="003A67B1" w:rsidP="003A67B1">
      <w:pPr>
        <w:widowControl w:val="0"/>
        <w:jc w:val="both"/>
        <w:rPr>
          <w:bCs/>
        </w:rPr>
      </w:pPr>
    </w:p>
    <w:p w14:paraId="26DEC9F4" w14:textId="32A3B5E4" w:rsidR="003A67B1" w:rsidRPr="003A67B1" w:rsidRDefault="003A67B1" w:rsidP="003A67B1">
      <w:pPr>
        <w:widowControl w:val="0"/>
        <w:jc w:val="both"/>
        <w:rPr>
          <w:bCs/>
        </w:rPr>
      </w:pPr>
      <w:r w:rsidRPr="003A67B1">
        <w:rPr>
          <w:bCs/>
        </w:rPr>
        <w:t xml:space="preserve">Em 2024, foram produzidos 14,1 TWh de </w:t>
      </w:r>
      <w:r w:rsidR="00F71F28">
        <w:rPr>
          <w:bCs/>
        </w:rPr>
        <w:t xml:space="preserve">eletricidade </w:t>
      </w:r>
      <w:r w:rsidR="00CD4560">
        <w:rPr>
          <w:bCs/>
        </w:rPr>
        <w:t xml:space="preserve">de </w:t>
      </w:r>
      <w:r w:rsidRPr="003A67B1">
        <w:rPr>
          <w:bCs/>
        </w:rPr>
        <w:t xml:space="preserve">origem eólica </w:t>
      </w:r>
      <w:proofErr w:type="spellStart"/>
      <w:r w:rsidRPr="003A67B1">
        <w:rPr>
          <w:bCs/>
          <w:i/>
          <w:iCs/>
        </w:rPr>
        <w:t>onshore</w:t>
      </w:r>
      <w:proofErr w:type="spellEnd"/>
      <w:r w:rsidRPr="003A67B1">
        <w:rPr>
          <w:bCs/>
        </w:rPr>
        <w:t xml:space="preserve">, mais 9% face a 2023. A expansão da energia eólica depende, sobretudo, de intervenções em parques já existentes, nomeadamente </w:t>
      </w:r>
      <w:proofErr w:type="spellStart"/>
      <w:r w:rsidR="00CD4560">
        <w:rPr>
          <w:bCs/>
        </w:rPr>
        <w:t>sobre</w:t>
      </w:r>
      <w:r w:rsidR="00216F6F">
        <w:rPr>
          <w:bCs/>
        </w:rPr>
        <w:t>e</w:t>
      </w:r>
      <w:r w:rsidR="00CD4560">
        <w:rPr>
          <w:bCs/>
        </w:rPr>
        <w:t>quipamentos</w:t>
      </w:r>
      <w:proofErr w:type="spellEnd"/>
      <w:r w:rsidR="00CD4560">
        <w:rPr>
          <w:bCs/>
        </w:rPr>
        <w:t xml:space="preserve"> e </w:t>
      </w:r>
      <w:r w:rsidRPr="003A67B1">
        <w:rPr>
          <w:bCs/>
        </w:rPr>
        <w:t xml:space="preserve">reequipamentos. </w:t>
      </w:r>
    </w:p>
    <w:p w14:paraId="0CD2FA7B" w14:textId="77777777" w:rsidR="003A67B1" w:rsidRDefault="003A67B1" w:rsidP="003A67B1">
      <w:pPr>
        <w:widowControl w:val="0"/>
        <w:jc w:val="both"/>
        <w:rPr>
          <w:bCs/>
        </w:rPr>
      </w:pPr>
    </w:p>
    <w:p w14:paraId="443E1CD6" w14:textId="4D85C837" w:rsidR="006741A6" w:rsidRDefault="00CE7518" w:rsidP="002153B9">
      <w:pPr>
        <w:widowControl w:val="0"/>
        <w:jc w:val="both"/>
        <w:rPr>
          <w:bCs/>
        </w:rPr>
      </w:pPr>
      <w:r>
        <w:rPr>
          <w:bCs/>
        </w:rPr>
        <w:t>Para a APREN, n</w:t>
      </w:r>
      <w:r w:rsidR="003A67B1">
        <w:rPr>
          <w:bCs/>
        </w:rPr>
        <w:t>os números relevados</w:t>
      </w:r>
      <w:r>
        <w:rPr>
          <w:bCs/>
        </w:rPr>
        <w:t>,</w:t>
      </w:r>
      <w:r w:rsidR="003A67B1">
        <w:rPr>
          <w:bCs/>
        </w:rPr>
        <w:t xml:space="preserve"> fica plasmado</w:t>
      </w:r>
      <w:r w:rsidR="009576B9" w:rsidRPr="009576B9">
        <w:rPr>
          <w:bCs/>
        </w:rPr>
        <w:t xml:space="preserve"> um cenário preocupante: </w:t>
      </w:r>
      <w:r w:rsidR="009576B9" w:rsidRPr="00B51BF6">
        <w:rPr>
          <w:bCs/>
        </w:rPr>
        <w:t xml:space="preserve">a expansão da </w:t>
      </w:r>
      <w:proofErr w:type="gramStart"/>
      <w:r w:rsidR="00D847B4">
        <w:rPr>
          <w:bCs/>
        </w:rPr>
        <w:t xml:space="preserve">capacidade </w:t>
      </w:r>
      <w:r w:rsidR="00CD4560" w:rsidRPr="00B51BF6">
        <w:rPr>
          <w:bCs/>
        </w:rPr>
        <w:t xml:space="preserve"> </w:t>
      </w:r>
      <w:r w:rsidR="009576B9" w:rsidRPr="00B51BF6">
        <w:rPr>
          <w:bCs/>
        </w:rPr>
        <w:t>eólica</w:t>
      </w:r>
      <w:proofErr w:type="gramEnd"/>
      <w:r w:rsidR="009576B9" w:rsidRPr="00B51BF6">
        <w:rPr>
          <w:bCs/>
        </w:rPr>
        <w:t xml:space="preserve"> em Portugal continua a depender sobretudo de intervenções em parques já existentes, nomeadamente </w:t>
      </w:r>
      <w:proofErr w:type="spellStart"/>
      <w:r w:rsidR="00D847B4">
        <w:rPr>
          <w:bCs/>
        </w:rPr>
        <w:t>sobre</w:t>
      </w:r>
      <w:r w:rsidR="00216F6F">
        <w:rPr>
          <w:bCs/>
        </w:rPr>
        <w:t>e</w:t>
      </w:r>
      <w:r w:rsidR="00D847B4">
        <w:rPr>
          <w:bCs/>
        </w:rPr>
        <w:t>quipamentos</w:t>
      </w:r>
      <w:proofErr w:type="spellEnd"/>
      <w:r w:rsidR="00D847B4">
        <w:rPr>
          <w:bCs/>
        </w:rPr>
        <w:t xml:space="preserve"> e </w:t>
      </w:r>
      <w:r w:rsidR="009576B9" w:rsidRPr="00B51BF6">
        <w:rPr>
          <w:bCs/>
        </w:rPr>
        <w:t>reequipamentos, em vez da instalação de novos parques.</w:t>
      </w:r>
      <w:r w:rsidR="009576B9" w:rsidRPr="009576B9">
        <w:rPr>
          <w:bCs/>
        </w:rPr>
        <w:t xml:space="preserve"> </w:t>
      </w:r>
    </w:p>
    <w:p w14:paraId="79113D6F" w14:textId="77777777" w:rsidR="006741A6" w:rsidRDefault="006741A6" w:rsidP="002153B9">
      <w:pPr>
        <w:widowControl w:val="0"/>
        <w:jc w:val="both"/>
        <w:rPr>
          <w:bCs/>
        </w:rPr>
      </w:pPr>
    </w:p>
    <w:p w14:paraId="17169109" w14:textId="1DE51988" w:rsidR="002153B9" w:rsidRPr="002153B9" w:rsidRDefault="009576B9" w:rsidP="002153B9">
      <w:pPr>
        <w:widowControl w:val="0"/>
        <w:jc w:val="both"/>
        <w:rPr>
          <w:bCs/>
        </w:rPr>
      </w:pPr>
      <w:r w:rsidRPr="002153B9">
        <w:rPr>
          <w:bCs/>
        </w:rPr>
        <w:t xml:space="preserve">Em 2024, foram instalados pouco mais de 70 MW de nova capacidade eólica, dos quais cerca de </w:t>
      </w:r>
      <w:r w:rsidRPr="002153B9">
        <w:rPr>
          <w:b/>
          <w:bCs/>
        </w:rPr>
        <w:t xml:space="preserve">metade corresponde a projetos de </w:t>
      </w:r>
      <w:proofErr w:type="spellStart"/>
      <w:r w:rsidRPr="002153B9">
        <w:rPr>
          <w:b/>
          <w:bCs/>
        </w:rPr>
        <w:t>sobreequipamento</w:t>
      </w:r>
      <w:proofErr w:type="spellEnd"/>
      <w:r w:rsidRPr="002153B9">
        <w:rPr>
          <w:bCs/>
        </w:rPr>
        <w:t xml:space="preserve"> — ou seja, a atualização de equipamentos em parques já existentes. A restante nova potência representa um esforço insuficiente para que o país consiga atingir os </w:t>
      </w:r>
      <w:r w:rsidRPr="002153B9">
        <w:rPr>
          <w:b/>
          <w:bCs/>
        </w:rPr>
        <w:t xml:space="preserve">10,4 GW de eólica </w:t>
      </w:r>
      <w:proofErr w:type="spellStart"/>
      <w:r w:rsidRPr="002153B9">
        <w:rPr>
          <w:b/>
          <w:bCs/>
        </w:rPr>
        <w:t>onshore</w:t>
      </w:r>
      <w:proofErr w:type="spellEnd"/>
      <w:r w:rsidRPr="002153B9">
        <w:rPr>
          <w:b/>
          <w:bCs/>
        </w:rPr>
        <w:t xml:space="preserve"> e os 2 GW offshore previstos para 2030</w:t>
      </w:r>
      <w:r w:rsidRPr="002153B9">
        <w:rPr>
          <w:bCs/>
        </w:rPr>
        <w:t>.</w:t>
      </w:r>
    </w:p>
    <w:p w14:paraId="1F25B190" w14:textId="77777777" w:rsidR="003C00C5" w:rsidRDefault="003C00C5" w:rsidP="002153B9">
      <w:pPr>
        <w:widowControl w:val="0"/>
        <w:jc w:val="both"/>
        <w:rPr>
          <w:bCs/>
        </w:rPr>
      </w:pPr>
    </w:p>
    <w:p w14:paraId="648D79A1" w14:textId="19A39EFB" w:rsidR="003C00C5" w:rsidRDefault="003C00C5" w:rsidP="002153B9">
      <w:pPr>
        <w:widowControl w:val="0"/>
        <w:jc w:val="both"/>
        <w:rPr>
          <w:bCs/>
        </w:rPr>
      </w:pPr>
      <w:r w:rsidRPr="003C00C5">
        <w:rPr>
          <w:b/>
        </w:rPr>
        <w:t xml:space="preserve">Pedro Amaral Jorge, Presidente da </w:t>
      </w:r>
      <w:r w:rsidR="00767910">
        <w:rPr>
          <w:b/>
        </w:rPr>
        <w:t xml:space="preserve">Direção da </w:t>
      </w:r>
      <w:r w:rsidRPr="003C00C5">
        <w:rPr>
          <w:b/>
        </w:rPr>
        <w:t>APREN</w:t>
      </w:r>
      <w:r>
        <w:rPr>
          <w:bCs/>
        </w:rPr>
        <w:t>, afirm</w:t>
      </w:r>
      <w:r w:rsidR="00B51BF6">
        <w:rPr>
          <w:bCs/>
        </w:rPr>
        <w:t>a</w:t>
      </w:r>
      <w:r>
        <w:rPr>
          <w:bCs/>
        </w:rPr>
        <w:t xml:space="preserve"> que “a</w:t>
      </w:r>
      <w:r w:rsidRPr="003C00C5">
        <w:rPr>
          <w:bCs/>
        </w:rPr>
        <w:t xml:space="preserve">s metas estabelecidas no Plano Nacional Energia e Clima 2030 são ambiciosas e exigem um esforço concertado, não só no desenvolvimento dos projetos eólicos, mas também na capacidade de envolver a indústria </w:t>
      </w:r>
      <w:r w:rsidRPr="003C00C5">
        <w:rPr>
          <w:bCs/>
        </w:rPr>
        <w:lastRenderedPageBreak/>
        <w:t xml:space="preserve">nacional ao longo de toda a cadeia de valor. Para que Portugal possa alcançar os 12,4 GW </w:t>
      </w:r>
      <w:r w:rsidR="00717832">
        <w:rPr>
          <w:bCs/>
        </w:rPr>
        <w:t xml:space="preserve">que estão </w:t>
      </w:r>
      <w:r w:rsidRPr="003C00C5">
        <w:rPr>
          <w:bCs/>
        </w:rPr>
        <w:t xml:space="preserve">previstos </w:t>
      </w:r>
      <w:r w:rsidR="00717832">
        <w:rPr>
          <w:bCs/>
        </w:rPr>
        <w:t>para</w:t>
      </w:r>
      <w:r w:rsidR="00717832" w:rsidRPr="003C00C5">
        <w:rPr>
          <w:bCs/>
        </w:rPr>
        <w:t xml:space="preserve"> </w:t>
      </w:r>
      <w:r w:rsidRPr="003C00C5">
        <w:rPr>
          <w:bCs/>
        </w:rPr>
        <w:t xml:space="preserve">2030, é fundamental que o Estado crie um quadro </w:t>
      </w:r>
      <w:r w:rsidR="00717832">
        <w:rPr>
          <w:bCs/>
        </w:rPr>
        <w:t>remuneratór</w:t>
      </w:r>
      <w:r w:rsidR="005F6291">
        <w:rPr>
          <w:bCs/>
        </w:rPr>
        <w:t>io</w:t>
      </w:r>
      <w:r w:rsidR="00717832" w:rsidRPr="003C00C5">
        <w:rPr>
          <w:bCs/>
        </w:rPr>
        <w:t xml:space="preserve"> </w:t>
      </w:r>
      <w:r w:rsidR="005F6291">
        <w:rPr>
          <w:bCs/>
        </w:rPr>
        <w:t xml:space="preserve">que permita a viabilidade económico-financeira e </w:t>
      </w:r>
      <w:r w:rsidR="00216F6F">
        <w:rPr>
          <w:bCs/>
        </w:rPr>
        <w:t>“</w:t>
      </w:r>
      <w:proofErr w:type="spellStart"/>
      <w:r w:rsidR="005F6291">
        <w:rPr>
          <w:bCs/>
        </w:rPr>
        <w:t>bancabilidade</w:t>
      </w:r>
      <w:proofErr w:type="spellEnd"/>
      <w:r w:rsidR="00216F6F">
        <w:rPr>
          <w:bCs/>
        </w:rPr>
        <w:t>”</w:t>
      </w:r>
      <w:r w:rsidR="005F6291">
        <w:rPr>
          <w:bCs/>
        </w:rPr>
        <w:t xml:space="preserve"> dos centros electroprodutores eólicos</w:t>
      </w:r>
      <w:r w:rsidRPr="003C00C5">
        <w:rPr>
          <w:bCs/>
        </w:rPr>
        <w:t xml:space="preserve">, capaz de impulsionar os </w:t>
      </w:r>
      <w:r w:rsidR="0076395F">
        <w:rPr>
          <w:bCs/>
        </w:rPr>
        <w:t xml:space="preserve">montantes de </w:t>
      </w:r>
      <w:r w:rsidRPr="003C00C5">
        <w:rPr>
          <w:bCs/>
        </w:rPr>
        <w:t>investimento necessários e assegurar a adequação das infraestruturas. Só assim poderemos transformar a energia eólica num verdadeiro motor económico e ambiental para o país.</w:t>
      </w:r>
      <w:r>
        <w:rPr>
          <w:bCs/>
        </w:rPr>
        <w:t>”</w:t>
      </w:r>
    </w:p>
    <w:p w14:paraId="468F4F89" w14:textId="77777777" w:rsidR="009576B9" w:rsidRDefault="009576B9" w:rsidP="002153B9">
      <w:pPr>
        <w:widowControl w:val="0"/>
        <w:jc w:val="both"/>
        <w:rPr>
          <w:bCs/>
        </w:rPr>
      </w:pPr>
    </w:p>
    <w:p w14:paraId="25062516" w14:textId="77777777" w:rsidR="00767910" w:rsidRPr="00767910" w:rsidRDefault="00767910" w:rsidP="00767910">
      <w:pPr>
        <w:widowControl w:val="0"/>
        <w:jc w:val="both"/>
        <w:rPr>
          <w:bCs/>
        </w:rPr>
      </w:pPr>
      <w:r w:rsidRPr="00767910">
        <w:rPr>
          <w:bCs/>
        </w:rPr>
        <w:t>Por sua vez</w:t>
      </w:r>
      <w:r w:rsidRPr="006741A6">
        <w:rPr>
          <w:b/>
        </w:rPr>
        <w:t>, Filipa Magalhães, responsável técnica de monitorização de ativos no INEGI</w:t>
      </w:r>
      <w:r w:rsidRPr="00767910">
        <w:rPr>
          <w:bCs/>
        </w:rPr>
        <w:t xml:space="preserve">, destaca que, em 2024, a energia eólica representou mais de um quarto da eletricidade consumida em Portugal, consolidando-se como um pilar essencial da transição energética nacional. Explica ainda que os projetos em curso, que deverão ficar concluídos em 2025, acrescentam mais 294,3 MW à capacidade já instalada. </w:t>
      </w:r>
    </w:p>
    <w:p w14:paraId="77C9733D" w14:textId="77777777" w:rsidR="00767910" w:rsidRPr="00767910" w:rsidRDefault="00767910" w:rsidP="00767910">
      <w:pPr>
        <w:widowControl w:val="0"/>
        <w:jc w:val="both"/>
        <w:rPr>
          <w:bCs/>
        </w:rPr>
      </w:pPr>
    </w:p>
    <w:p w14:paraId="64D0ABAD" w14:textId="0656D87C" w:rsidR="009576B9" w:rsidRDefault="00767910" w:rsidP="00767910">
      <w:pPr>
        <w:widowControl w:val="0"/>
        <w:jc w:val="both"/>
        <w:rPr>
          <w:bCs/>
        </w:rPr>
      </w:pPr>
      <w:r w:rsidRPr="00767910">
        <w:rPr>
          <w:bCs/>
        </w:rPr>
        <w:t>“São valores que, no entanto, ficam aquém do ritmo necessário ao cumprimento das metas estabelecidas no Plano Nacional de Energia e Clima 2030”, refere Filipa Magalhães.</w:t>
      </w:r>
    </w:p>
    <w:p w14:paraId="59ECA551" w14:textId="77777777" w:rsidR="00767910" w:rsidRPr="009576B9" w:rsidRDefault="00767910" w:rsidP="00767910">
      <w:pPr>
        <w:widowControl w:val="0"/>
        <w:jc w:val="both"/>
        <w:rPr>
          <w:bCs/>
        </w:rPr>
      </w:pPr>
    </w:p>
    <w:p w14:paraId="50809184" w14:textId="00B9D58A" w:rsidR="002153B9" w:rsidRDefault="00767910" w:rsidP="002153B9">
      <w:pPr>
        <w:widowControl w:val="0"/>
        <w:jc w:val="both"/>
        <w:rPr>
          <w:bCs/>
        </w:rPr>
      </w:pPr>
      <w:r w:rsidRPr="00767910">
        <w:rPr>
          <w:bCs/>
        </w:rPr>
        <w:t>O relatório est</w:t>
      </w:r>
      <w:r w:rsidR="002D795A">
        <w:rPr>
          <w:bCs/>
        </w:rPr>
        <w:t>ar</w:t>
      </w:r>
      <w:r w:rsidRPr="00767910">
        <w:rPr>
          <w:bCs/>
        </w:rPr>
        <w:t xml:space="preserve">á disponível no website </w:t>
      </w:r>
      <w:hyperlink r:id="rId12" w:history="1">
        <w:r w:rsidRPr="00767910">
          <w:rPr>
            <w:rStyle w:val="Hiperligao"/>
            <w:bCs/>
          </w:rPr>
          <w:t>e2p – E</w:t>
        </w:r>
        <w:r w:rsidRPr="00767910">
          <w:rPr>
            <w:rStyle w:val="Hiperligao"/>
            <w:bCs/>
          </w:rPr>
          <w:t>n</w:t>
        </w:r>
        <w:r w:rsidRPr="00767910">
          <w:rPr>
            <w:rStyle w:val="Hiperligao"/>
            <w:bCs/>
          </w:rPr>
          <w:t>ergia Endógena Portugal</w:t>
        </w:r>
      </w:hyperlink>
      <w:r w:rsidRPr="00767910">
        <w:rPr>
          <w:bCs/>
        </w:rPr>
        <w:t>.</w:t>
      </w:r>
    </w:p>
    <w:p w14:paraId="707EE26C" w14:textId="77777777" w:rsidR="00F06AF5" w:rsidRDefault="00F06AF5" w:rsidP="000115C5">
      <w:pPr>
        <w:pBdr>
          <w:bottom w:val="single" w:sz="12" w:space="1" w:color="auto"/>
        </w:pBdr>
        <w:jc w:val="both"/>
        <w:rPr>
          <w:rFonts w:cstheme="minorHAnsi"/>
        </w:rPr>
        <w:sectPr w:rsidR="00F06AF5" w:rsidSect="00216F6F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08945C3" w14:textId="77777777" w:rsidR="000115C5" w:rsidRPr="00003A6D" w:rsidRDefault="000115C5" w:rsidP="000115C5">
      <w:pPr>
        <w:pBdr>
          <w:bottom w:val="single" w:sz="12" w:space="1" w:color="auto"/>
        </w:pBdr>
        <w:jc w:val="both"/>
        <w:rPr>
          <w:rFonts w:cstheme="minorHAnsi"/>
        </w:rPr>
      </w:pPr>
    </w:p>
    <w:p w14:paraId="7D45F286" w14:textId="77777777" w:rsidR="000115C5" w:rsidRPr="00003A6D" w:rsidRDefault="000115C5" w:rsidP="000115C5">
      <w:pPr>
        <w:jc w:val="both"/>
        <w:rPr>
          <w:rFonts w:cstheme="minorHAnsi"/>
          <w:b/>
        </w:rPr>
      </w:pPr>
    </w:p>
    <w:p w14:paraId="1F022BAF" w14:textId="77777777" w:rsidR="00305E01" w:rsidRDefault="00CE7518">
      <w:pPr>
        <w:spacing w:line="240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Sobre a APREN</w:t>
      </w:r>
      <w:r>
        <w:rPr>
          <w:sz w:val="18"/>
          <w:szCs w:val="18"/>
        </w:rPr>
        <w:t>:</w:t>
      </w:r>
    </w:p>
    <w:p w14:paraId="31529412" w14:textId="77777777" w:rsidR="00305E01" w:rsidRDefault="00305E01">
      <w:pPr>
        <w:spacing w:line="240" w:lineRule="auto"/>
        <w:jc w:val="both"/>
        <w:rPr>
          <w:sz w:val="18"/>
          <w:szCs w:val="18"/>
        </w:rPr>
      </w:pPr>
    </w:p>
    <w:p w14:paraId="4807328E" w14:textId="77777777" w:rsidR="00305E01" w:rsidRDefault="00305E01">
      <w:pPr>
        <w:spacing w:line="240" w:lineRule="auto"/>
        <w:jc w:val="both"/>
        <w:rPr>
          <w:sz w:val="18"/>
          <w:szCs w:val="18"/>
        </w:rPr>
      </w:pPr>
    </w:p>
    <w:p w14:paraId="494F0C54" w14:textId="6B43F1C1" w:rsidR="00CB69B1" w:rsidRPr="00CB69B1" w:rsidRDefault="00CB69B1" w:rsidP="00CB69B1">
      <w:pPr>
        <w:widowControl w:val="0"/>
        <w:spacing w:line="240" w:lineRule="auto"/>
        <w:rPr>
          <w:noProof/>
        </w:rPr>
      </w:pPr>
      <w:r w:rsidRPr="00CB69B1">
        <w:rPr>
          <w:noProof/>
        </w:rPr>
        <w:drawing>
          <wp:inline distT="0" distB="0" distL="0" distR="0" wp14:anchorId="521DACDA" wp14:editId="716EE429">
            <wp:extent cx="219075" cy="219075"/>
            <wp:effectExtent l="0" t="0" r="9525" b="9525"/>
            <wp:docPr id="745580458" name="Imagem 1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9B1">
        <w:rPr>
          <w:noProof/>
        </w:rPr>
        <w:t>   </w:t>
      </w:r>
      <w:r w:rsidRPr="00CB69B1">
        <w:rPr>
          <w:noProof/>
        </w:rPr>
        <w:drawing>
          <wp:inline distT="0" distB="0" distL="0" distR="0" wp14:anchorId="577D1809" wp14:editId="357277C8">
            <wp:extent cx="219075" cy="219075"/>
            <wp:effectExtent l="0" t="0" r="9525" b="9525"/>
            <wp:docPr id="1086425172" name="Imagem 9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9B1">
        <w:rPr>
          <w:noProof/>
        </w:rPr>
        <w:t>   </w:t>
      </w:r>
      <w:r w:rsidRPr="00CB69B1">
        <w:rPr>
          <w:noProof/>
        </w:rPr>
        <w:drawing>
          <wp:inline distT="0" distB="0" distL="0" distR="0" wp14:anchorId="7510003C" wp14:editId="3EE8D085">
            <wp:extent cx="219075" cy="219075"/>
            <wp:effectExtent l="0" t="0" r="9525" b="9525"/>
            <wp:docPr id="343970425" name="Imagem 8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9B1">
        <w:rPr>
          <w:noProof/>
        </w:rPr>
        <w:t>   </w:t>
      </w:r>
      <w:r w:rsidRPr="00CB69B1">
        <w:rPr>
          <w:noProof/>
        </w:rPr>
        <w:drawing>
          <wp:inline distT="0" distB="0" distL="0" distR="0" wp14:anchorId="01E5FE61" wp14:editId="1BA49F0D">
            <wp:extent cx="219075" cy="219075"/>
            <wp:effectExtent l="0" t="0" r="9525" b="9525"/>
            <wp:docPr id="1990765726" name="Imagem 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9B1">
        <w:rPr>
          <w:noProof/>
        </w:rPr>
        <w:t>   </w:t>
      </w:r>
      <w:r w:rsidRPr="00CB69B1">
        <w:rPr>
          <w:noProof/>
        </w:rPr>
        <w:drawing>
          <wp:inline distT="0" distB="0" distL="0" distR="0" wp14:anchorId="6F5C7706" wp14:editId="60713407">
            <wp:extent cx="219075" cy="219075"/>
            <wp:effectExtent l="0" t="0" r="9525" b="9525"/>
            <wp:docPr id="695668182" name="Imagem 6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0A58D" w14:textId="77777777" w:rsidR="00305E01" w:rsidRDefault="00305E01">
      <w:pPr>
        <w:widowControl w:val="0"/>
        <w:spacing w:line="240" w:lineRule="auto"/>
      </w:pPr>
    </w:p>
    <w:p w14:paraId="206BE4CC" w14:textId="77777777" w:rsidR="00305E01" w:rsidRDefault="00CE7518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Associação Portuguesa de Energias Renováveis (APREN) é uma associação sem fins lucrativos, constituída em outubro de 1988, com a missão de coordenação e representação dos interesses comuns dos seus Associados na promoção das Energias Renováveis no setor da eletricidade.   </w:t>
      </w:r>
    </w:p>
    <w:p w14:paraId="66352007" w14:textId="77777777" w:rsidR="00305E01" w:rsidRDefault="00CE7518">
      <w:pPr>
        <w:spacing w:line="240" w:lineRule="auto"/>
        <w:jc w:val="both"/>
        <w:rPr>
          <w:sz w:val="20"/>
          <w:szCs w:val="20"/>
        </w:rPr>
      </w:pPr>
      <w:r>
        <w:rPr>
          <w:sz w:val="18"/>
          <w:szCs w:val="18"/>
        </w:rPr>
        <w:t>A APREN desenvolve trabalho em conjunto com organismos oficiais e outras entidades congéneres, a nível nacional e internacional, constituindo um instrumento de participação nas políticas energética e ambiental através do aproveitamento e valorização dos recursos naturais para produções de eletricidade, nomeadamente nos domínios hídricos, eólico, solar, geotérmico, da biomassa, do biogás e dos resíduos sólidos urbanos.</w:t>
      </w:r>
    </w:p>
    <w:p w14:paraId="1F1A960B" w14:textId="77777777" w:rsidR="00305E01" w:rsidRDefault="00305E01" w:rsidP="00802E63">
      <w:pPr>
        <w:ind w:left="720" w:hanging="720"/>
      </w:pPr>
    </w:p>
    <w:p w14:paraId="68245145" w14:textId="438D44CF" w:rsidR="002153B9" w:rsidRDefault="002153B9" w:rsidP="00767910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Sobre o INEGI:</w:t>
      </w:r>
    </w:p>
    <w:p w14:paraId="5116B4FE" w14:textId="77777777" w:rsidR="001844D9" w:rsidRDefault="001844D9" w:rsidP="00767910">
      <w:pPr>
        <w:spacing w:line="240" w:lineRule="auto"/>
        <w:jc w:val="both"/>
        <w:rPr>
          <w:b/>
          <w:sz w:val="18"/>
          <w:szCs w:val="18"/>
        </w:rPr>
      </w:pPr>
    </w:p>
    <w:p w14:paraId="1F91E37E" w14:textId="46807394" w:rsidR="00767910" w:rsidRDefault="00767910" w:rsidP="00767910">
      <w:pPr>
        <w:spacing w:line="240" w:lineRule="auto"/>
        <w:jc w:val="both"/>
        <w:rPr>
          <w:sz w:val="18"/>
          <w:szCs w:val="18"/>
        </w:rPr>
      </w:pPr>
      <w:r w:rsidRPr="00767910">
        <w:rPr>
          <w:sz w:val="18"/>
          <w:szCs w:val="18"/>
        </w:rPr>
        <w:t>É um Centro de Tecnologia e Inovação (CTI), vocacionado para a realização de atividades de investigação e de inovação de base tecnológica, transferência de tecnologia, consultoria e serviços tecnológicos, orientadas para o desenvolvimento da indústria e da economia em geral. Contando já com mais de 35 anos de experiência, o INEGI atua num conjunto alargado de mercados e setores, nomeadamente: indústria; bens de equipamento; automóvel e transportes; aeronáutica, espaço e defesa; economia do mar; infraestruturas; saúde e desporto; e energias renováveis.</w:t>
      </w:r>
    </w:p>
    <w:p w14:paraId="48F0D8C1" w14:textId="77777777" w:rsidR="00D9766D" w:rsidRDefault="00D9766D" w:rsidP="00D9766D">
      <w:pPr>
        <w:spacing w:line="240" w:lineRule="auto"/>
        <w:jc w:val="both"/>
        <w:rPr>
          <w:sz w:val="18"/>
          <w:szCs w:val="18"/>
        </w:rPr>
      </w:pPr>
    </w:p>
    <w:p w14:paraId="5B150928" w14:textId="358F055B" w:rsidR="00D9766D" w:rsidRPr="00673F95" w:rsidRDefault="00D9766D" w:rsidP="00D9766D">
      <w:pPr>
        <w:spacing w:line="240" w:lineRule="auto"/>
        <w:jc w:val="both"/>
        <w:rPr>
          <w:sz w:val="16"/>
          <w:szCs w:val="16"/>
        </w:rPr>
      </w:pPr>
      <w:r w:rsidRPr="00673F95">
        <w:rPr>
          <w:sz w:val="16"/>
          <w:szCs w:val="16"/>
        </w:rPr>
        <w:t>INEGI | Ana Rita Gouveia | Marketing e Comunicação Institucional</w:t>
      </w:r>
    </w:p>
    <w:p w14:paraId="510D3892" w14:textId="07080CD9" w:rsidR="00D9766D" w:rsidRPr="00F06AF5" w:rsidRDefault="00D9766D" w:rsidP="00D9766D">
      <w:pPr>
        <w:spacing w:line="240" w:lineRule="auto"/>
        <w:jc w:val="both"/>
        <w:rPr>
          <w:sz w:val="16"/>
          <w:szCs w:val="16"/>
        </w:rPr>
      </w:pPr>
      <w:r w:rsidRPr="00F06AF5">
        <w:rPr>
          <w:sz w:val="16"/>
          <w:szCs w:val="16"/>
        </w:rPr>
        <w:t xml:space="preserve">T +351 229 578 710 | </w:t>
      </w:r>
      <w:hyperlink r:id="rId23" w:history="1">
        <w:r w:rsidR="00E617A5" w:rsidRPr="00F06AF5">
          <w:rPr>
            <w:rStyle w:val="Hiperligao"/>
            <w:color w:val="auto"/>
            <w:sz w:val="16"/>
            <w:szCs w:val="16"/>
          </w:rPr>
          <w:t>agouveia@inegi.up.pt</w:t>
        </w:r>
      </w:hyperlink>
      <w:r w:rsidR="00E617A5" w:rsidRPr="00F06AF5">
        <w:rPr>
          <w:sz w:val="16"/>
          <w:szCs w:val="16"/>
        </w:rPr>
        <w:t xml:space="preserve"> </w:t>
      </w:r>
      <w:r w:rsidRPr="00F06AF5">
        <w:rPr>
          <w:sz w:val="16"/>
          <w:szCs w:val="16"/>
        </w:rPr>
        <w:t xml:space="preserve"> </w:t>
      </w:r>
    </w:p>
    <w:p w14:paraId="0340083E" w14:textId="77777777" w:rsidR="00D9766D" w:rsidRPr="00673F95" w:rsidRDefault="00D9766D" w:rsidP="00D9766D">
      <w:pPr>
        <w:spacing w:line="240" w:lineRule="auto"/>
        <w:jc w:val="both"/>
        <w:rPr>
          <w:sz w:val="16"/>
          <w:szCs w:val="16"/>
        </w:rPr>
      </w:pPr>
      <w:r w:rsidRPr="00673F95">
        <w:rPr>
          <w:sz w:val="16"/>
          <w:szCs w:val="16"/>
        </w:rPr>
        <w:t>INEGI - Instituto de Ciência e Inovação em Engenharia Mecânica e Engenharia Industrial</w:t>
      </w:r>
    </w:p>
    <w:p w14:paraId="532CD3DC" w14:textId="4A88E5C6" w:rsidR="00526CB2" w:rsidRPr="00673F95" w:rsidRDefault="00D9766D" w:rsidP="00D9766D">
      <w:pPr>
        <w:spacing w:line="240" w:lineRule="auto"/>
        <w:jc w:val="both"/>
        <w:rPr>
          <w:sz w:val="16"/>
          <w:szCs w:val="16"/>
        </w:rPr>
      </w:pPr>
      <w:r w:rsidRPr="00673F95">
        <w:rPr>
          <w:sz w:val="16"/>
          <w:szCs w:val="16"/>
        </w:rPr>
        <w:t>Campus da FEUP | Rua Dr. Roberto Frias | 4200-465 Porto</w:t>
      </w:r>
    </w:p>
    <w:sectPr w:rsidR="00526CB2" w:rsidRPr="00673F95" w:rsidSect="00216F6F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AFEA" w14:textId="77777777" w:rsidR="00D60C85" w:rsidRDefault="00D60C85">
      <w:pPr>
        <w:spacing w:line="240" w:lineRule="auto"/>
      </w:pPr>
      <w:r>
        <w:separator/>
      </w:r>
    </w:p>
  </w:endnote>
  <w:endnote w:type="continuationSeparator" w:id="0">
    <w:p w14:paraId="77D5823C" w14:textId="77777777" w:rsidR="00D60C85" w:rsidRDefault="00D60C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5D8B" w14:textId="77777777" w:rsidR="00D60C85" w:rsidRDefault="00D60C85">
      <w:pPr>
        <w:spacing w:line="240" w:lineRule="auto"/>
      </w:pPr>
      <w:r>
        <w:separator/>
      </w:r>
    </w:p>
  </w:footnote>
  <w:footnote w:type="continuationSeparator" w:id="0">
    <w:p w14:paraId="60EE4BFE" w14:textId="77777777" w:rsidR="00D60C85" w:rsidRDefault="00D60C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69F1" w14:textId="3459B08F" w:rsidR="00305E01" w:rsidRDefault="002153B9">
    <w:r>
      <w:rPr>
        <w:noProof/>
      </w:rPr>
      <w:drawing>
        <wp:anchor distT="0" distB="0" distL="114300" distR="114300" simplePos="0" relativeHeight="251659264" behindDoc="1" locked="0" layoutInCell="1" allowOverlap="1" wp14:anchorId="382461E3" wp14:editId="27626E81">
          <wp:simplePos x="0" y="0"/>
          <wp:positionH relativeFrom="margin">
            <wp:align>right</wp:align>
          </wp:positionH>
          <wp:positionV relativeFrom="paragraph">
            <wp:posOffset>-252412</wp:posOffset>
          </wp:positionV>
          <wp:extent cx="2067220" cy="600075"/>
          <wp:effectExtent l="0" t="0" r="0" b="0"/>
          <wp:wrapNone/>
          <wp:docPr id="77177259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2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006075C1" wp14:editId="2B2B5DED">
          <wp:simplePos x="0" y="0"/>
          <wp:positionH relativeFrom="margin">
            <wp:align>left</wp:align>
          </wp:positionH>
          <wp:positionV relativeFrom="page">
            <wp:posOffset>161925</wp:posOffset>
          </wp:positionV>
          <wp:extent cx="2310130" cy="580390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0130" cy="580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9738B"/>
    <w:multiLevelType w:val="hybridMultilevel"/>
    <w:tmpl w:val="DA6C08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162D6"/>
    <w:multiLevelType w:val="multilevel"/>
    <w:tmpl w:val="F47C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90E9B"/>
    <w:multiLevelType w:val="multilevel"/>
    <w:tmpl w:val="27B49D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84756A"/>
    <w:multiLevelType w:val="multilevel"/>
    <w:tmpl w:val="6D30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8566C5"/>
    <w:multiLevelType w:val="multilevel"/>
    <w:tmpl w:val="C730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966354">
    <w:abstractNumId w:val="2"/>
  </w:num>
  <w:num w:numId="2" w16cid:durableId="1398243307">
    <w:abstractNumId w:val="0"/>
  </w:num>
  <w:num w:numId="3" w16cid:durableId="403339212">
    <w:abstractNumId w:val="4"/>
  </w:num>
  <w:num w:numId="4" w16cid:durableId="1983654274">
    <w:abstractNumId w:val="1"/>
  </w:num>
  <w:num w:numId="5" w16cid:durableId="1416244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01"/>
    <w:rsid w:val="000001E7"/>
    <w:rsid w:val="000102F3"/>
    <w:rsid w:val="000115C5"/>
    <w:rsid w:val="00031CE8"/>
    <w:rsid w:val="000323E4"/>
    <w:rsid w:val="00032595"/>
    <w:rsid w:val="00043F80"/>
    <w:rsid w:val="000516C8"/>
    <w:rsid w:val="000521FE"/>
    <w:rsid w:val="00054246"/>
    <w:rsid w:val="0005482A"/>
    <w:rsid w:val="00064328"/>
    <w:rsid w:val="0008506F"/>
    <w:rsid w:val="0009217A"/>
    <w:rsid w:val="000A6B42"/>
    <w:rsid w:val="000B1869"/>
    <w:rsid w:val="000B1B19"/>
    <w:rsid w:val="000C529C"/>
    <w:rsid w:val="000D1CD0"/>
    <w:rsid w:val="000D6542"/>
    <w:rsid w:val="000E2B2A"/>
    <w:rsid w:val="00105B93"/>
    <w:rsid w:val="00114D28"/>
    <w:rsid w:val="00136D7C"/>
    <w:rsid w:val="0013760E"/>
    <w:rsid w:val="00140262"/>
    <w:rsid w:val="00153D11"/>
    <w:rsid w:val="00162FF7"/>
    <w:rsid w:val="00164539"/>
    <w:rsid w:val="00166A48"/>
    <w:rsid w:val="00177143"/>
    <w:rsid w:val="00182055"/>
    <w:rsid w:val="001844D9"/>
    <w:rsid w:val="001871B3"/>
    <w:rsid w:val="00194DFC"/>
    <w:rsid w:val="001B0495"/>
    <w:rsid w:val="001D1F43"/>
    <w:rsid w:val="001E1020"/>
    <w:rsid w:val="001E4C5C"/>
    <w:rsid w:val="001F49A4"/>
    <w:rsid w:val="00205A36"/>
    <w:rsid w:val="002153B9"/>
    <w:rsid w:val="00216F6F"/>
    <w:rsid w:val="002239FB"/>
    <w:rsid w:val="00224160"/>
    <w:rsid w:val="00240A07"/>
    <w:rsid w:val="00261999"/>
    <w:rsid w:val="002707C4"/>
    <w:rsid w:val="0027400E"/>
    <w:rsid w:val="002777CC"/>
    <w:rsid w:val="0028359C"/>
    <w:rsid w:val="00293631"/>
    <w:rsid w:val="002C4428"/>
    <w:rsid w:val="002D795A"/>
    <w:rsid w:val="002E3EEA"/>
    <w:rsid w:val="003021D3"/>
    <w:rsid w:val="00304437"/>
    <w:rsid w:val="00305E01"/>
    <w:rsid w:val="0031135B"/>
    <w:rsid w:val="00314B71"/>
    <w:rsid w:val="00343E92"/>
    <w:rsid w:val="00343F63"/>
    <w:rsid w:val="00360ED9"/>
    <w:rsid w:val="00373C29"/>
    <w:rsid w:val="00390D0C"/>
    <w:rsid w:val="00392574"/>
    <w:rsid w:val="003A15D5"/>
    <w:rsid w:val="003A67B1"/>
    <w:rsid w:val="003A7979"/>
    <w:rsid w:val="003B46A3"/>
    <w:rsid w:val="003C00C5"/>
    <w:rsid w:val="003E1B27"/>
    <w:rsid w:val="003E3A57"/>
    <w:rsid w:val="0040650C"/>
    <w:rsid w:val="00421C7B"/>
    <w:rsid w:val="004252FA"/>
    <w:rsid w:val="004261E1"/>
    <w:rsid w:val="00431E30"/>
    <w:rsid w:val="00437ED2"/>
    <w:rsid w:val="00447163"/>
    <w:rsid w:val="004476B1"/>
    <w:rsid w:val="004A264E"/>
    <w:rsid w:val="004A2F33"/>
    <w:rsid w:val="004C6615"/>
    <w:rsid w:val="004C697C"/>
    <w:rsid w:val="004D41AD"/>
    <w:rsid w:val="004D6629"/>
    <w:rsid w:val="004E68AB"/>
    <w:rsid w:val="004E68CA"/>
    <w:rsid w:val="004F1EF9"/>
    <w:rsid w:val="0050141C"/>
    <w:rsid w:val="0051449B"/>
    <w:rsid w:val="00516647"/>
    <w:rsid w:val="00526CB2"/>
    <w:rsid w:val="00533A3F"/>
    <w:rsid w:val="00541019"/>
    <w:rsid w:val="00544E7E"/>
    <w:rsid w:val="00563C95"/>
    <w:rsid w:val="00567252"/>
    <w:rsid w:val="005739B1"/>
    <w:rsid w:val="0057566F"/>
    <w:rsid w:val="005B1806"/>
    <w:rsid w:val="005B3AA3"/>
    <w:rsid w:val="005D190C"/>
    <w:rsid w:val="005D1BD8"/>
    <w:rsid w:val="005D6D9E"/>
    <w:rsid w:val="005E6BA9"/>
    <w:rsid w:val="005F6291"/>
    <w:rsid w:val="006334D9"/>
    <w:rsid w:val="0063631F"/>
    <w:rsid w:val="006459B2"/>
    <w:rsid w:val="0064704F"/>
    <w:rsid w:val="00647F86"/>
    <w:rsid w:val="0067137A"/>
    <w:rsid w:val="00673F95"/>
    <w:rsid w:val="006741A6"/>
    <w:rsid w:val="00686ECB"/>
    <w:rsid w:val="006B063E"/>
    <w:rsid w:val="006C6127"/>
    <w:rsid w:val="0071304A"/>
    <w:rsid w:val="00717832"/>
    <w:rsid w:val="00754AEA"/>
    <w:rsid w:val="00760EA7"/>
    <w:rsid w:val="0076395F"/>
    <w:rsid w:val="00765DC1"/>
    <w:rsid w:val="00765EDC"/>
    <w:rsid w:val="00767910"/>
    <w:rsid w:val="0077235C"/>
    <w:rsid w:val="007B0F16"/>
    <w:rsid w:val="007D2382"/>
    <w:rsid w:val="007E2A43"/>
    <w:rsid w:val="007E2BAB"/>
    <w:rsid w:val="00802E63"/>
    <w:rsid w:val="00803B9B"/>
    <w:rsid w:val="00817EB8"/>
    <w:rsid w:val="00823C26"/>
    <w:rsid w:val="00826F92"/>
    <w:rsid w:val="00852E5A"/>
    <w:rsid w:val="00874541"/>
    <w:rsid w:val="00884F2C"/>
    <w:rsid w:val="00890A02"/>
    <w:rsid w:val="008A2F65"/>
    <w:rsid w:val="008A3E0B"/>
    <w:rsid w:val="008B7AA4"/>
    <w:rsid w:val="008C03C6"/>
    <w:rsid w:val="008C438A"/>
    <w:rsid w:val="008E4D70"/>
    <w:rsid w:val="008E7F79"/>
    <w:rsid w:val="009124D5"/>
    <w:rsid w:val="009166DA"/>
    <w:rsid w:val="00925ECA"/>
    <w:rsid w:val="009303AE"/>
    <w:rsid w:val="0093217B"/>
    <w:rsid w:val="009576B9"/>
    <w:rsid w:val="00961CB8"/>
    <w:rsid w:val="00971A41"/>
    <w:rsid w:val="00972015"/>
    <w:rsid w:val="00976D09"/>
    <w:rsid w:val="00977495"/>
    <w:rsid w:val="0099377D"/>
    <w:rsid w:val="009938AC"/>
    <w:rsid w:val="0099567E"/>
    <w:rsid w:val="00995AC4"/>
    <w:rsid w:val="009A2C85"/>
    <w:rsid w:val="009A53FE"/>
    <w:rsid w:val="009B4153"/>
    <w:rsid w:val="009C00AB"/>
    <w:rsid w:val="009C05F8"/>
    <w:rsid w:val="009D265F"/>
    <w:rsid w:val="009E5768"/>
    <w:rsid w:val="009E7221"/>
    <w:rsid w:val="009F1C33"/>
    <w:rsid w:val="009F676C"/>
    <w:rsid w:val="00A0090B"/>
    <w:rsid w:val="00A0181A"/>
    <w:rsid w:val="00A023C7"/>
    <w:rsid w:val="00A045AC"/>
    <w:rsid w:val="00A106C1"/>
    <w:rsid w:val="00A137D5"/>
    <w:rsid w:val="00A14AA6"/>
    <w:rsid w:val="00A41941"/>
    <w:rsid w:val="00A43C98"/>
    <w:rsid w:val="00A552C0"/>
    <w:rsid w:val="00A71108"/>
    <w:rsid w:val="00A82196"/>
    <w:rsid w:val="00A960D1"/>
    <w:rsid w:val="00A97287"/>
    <w:rsid w:val="00AA4382"/>
    <w:rsid w:val="00AB7851"/>
    <w:rsid w:val="00AB7ECC"/>
    <w:rsid w:val="00AC4775"/>
    <w:rsid w:val="00AC62FF"/>
    <w:rsid w:val="00AD59C2"/>
    <w:rsid w:val="00AF23D9"/>
    <w:rsid w:val="00AF3EEE"/>
    <w:rsid w:val="00AF7C28"/>
    <w:rsid w:val="00B07600"/>
    <w:rsid w:val="00B12115"/>
    <w:rsid w:val="00B13F5F"/>
    <w:rsid w:val="00B25E5A"/>
    <w:rsid w:val="00B2783D"/>
    <w:rsid w:val="00B50A50"/>
    <w:rsid w:val="00B51BF6"/>
    <w:rsid w:val="00B54693"/>
    <w:rsid w:val="00B55B6E"/>
    <w:rsid w:val="00B63E42"/>
    <w:rsid w:val="00B71922"/>
    <w:rsid w:val="00B84370"/>
    <w:rsid w:val="00B95C97"/>
    <w:rsid w:val="00BA6FF9"/>
    <w:rsid w:val="00BB3E47"/>
    <w:rsid w:val="00BB5924"/>
    <w:rsid w:val="00BC5295"/>
    <w:rsid w:val="00BD4F7B"/>
    <w:rsid w:val="00BF25F4"/>
    <w:rsid w:val="00BF3BAB"/>
    <w:rsid w:val="00C052EF"/>
    <w:rsid w:val="00C13E27"/>
    <w:rsid w:val="00C34184"/>
    <w:rsid w:val="00C533B8"/>
    <w:rsid w:val="00C553FC"/>
    <w:rsid w:val="00C65AB2"/>
    <w:rsid w:val="00C65CA3"/>
    <w:rsid w:val="00C70A48"/>
    <w:rsid w:val="00C9610D"/>
    <w:rsid w:val="00CB137E"/>
    <w:rsid w:val="00CB69B1"/>
    <w:rsid w:val="00CB6C39"/>
    <w:rsid w:val="00CD432B"/>
    <w:rsid w:val="00CD4560"/>
    <w:rsid w:val="00CE46D2"/>
    <w:rsid w:val="00CE7518"/>
    <w:rsid w:val="00CF643E"/>
    <w:rsid w:val="00D12E7C"/>
    <w:rsid w:val="00D2003B"/>
    <w:rsid w:val="00D34CBA"/>
    <w:rsid w:val="00D40B28"/>
    <w:rsid w:val="00D4790C"/>
    <w:rsid w:val="00D60B91"/>
    <w:rsid w:val="00D60C85"/>
    <w:rsid w:val="00D634B7"/>
    <w:rsid w:val="00D847B4"/>
    <w:rsid w:val="00D96E16"/>
    <w:rsid w:val="00D9702E"/>
    <w:rsid w:val="00D9756B"/>
    <w:rsid w:val="00D9766D"/>
    <w:rsid w:val="00DB1AAA"/>
    <w:rsid w:val="00DB1BA4"/>
    <w:rsid w:val="00DC6C35"/>
    <w:rsid w:val="00DD11EE"/>
    <w:rsid w:val="00DF1336"/>
    <w:rsid w:val="00DF437D"/>
    <w:rsid w:val="00E01236"/>
    <w:rsid w:val="00E22163"/>
    <w:rsid w:val="00E24F92"/>
    <w:rsid w:val="00E25FC9"/>
    <w:rsid w:val="00E31042"/>
    <w:rsid w:val="00E42D20"/>
    <w:rsid w:val="00E53FD5"/>
    <w:rsid w:val="00E617A5"/>
    <w:rsid w:val="00E6621C"/>
    <w:rsid w:val="00EB1C93"/>
    <w:rsid w:val="00EB57E6"/>
    <w:rsid w:val="00EC41BA"/>
    <w:rsid w:val="00ED2E65"/>
    <w:rsid w:val="00ED5D80"/>
    <w:rsid w:val="00EE17A7"/>
    <w:rsid w:val="00EF4384"/>
    <w:rsid w:val="00F06AF5"/>
    <w:rsid w:val="00F3270D"/>
    <w:rsid w:val="00F3493A"/>
    <w:rsid w:val="00F40260"/>
    <w:rsid w:val="00F6395A"/>
    <w:rsid w:val="00F71F28"/>
    <w:rsid w:val="00F86666"/>
    <w:rsid w:val="00F94991"/>
    <w:rsid w:val="00FB1329"/>
    <w:rsid w:val="00FD0A8B"/>
    <w:rsid w:val="00FE1EDA"/>
    <w:rsid w:val="00FE2DDB"/>
    <w:rsid w:val="00FE3409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637A"/>
  <w15:docId w15:val="{875BBA78-60D9-4318-A99F-F06ED59B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D0AC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D0AC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AD0AC6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314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71A41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A0181A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0181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B57E6"/>
    <w:rPr>
      <w:color w:val="800080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2153B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153B9"/>
  </w:style>
  <w:style w:type="paragraph" w:styleId="Rodap">
    <w:name w:val="footer"/>
    <w:basedOn w:val="Normal"/>
    <w:link w:val="RodapCarter"/>
    <w:uiPriority w:val="99"/>
    <w:unhideWhenUsed/>
    <w:rsid w:val="002153B9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1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9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0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95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61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8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44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6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0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t.linkedin.com/company/apren-pt" TargetMode="External"/><Relationship Id="rId18" Type="http://schemas.openxmlformats.org/officeDocument/2006/relationships/image" Target="media/image5.jpeg"/><Relationship Id="rId3" Type="http://schemas.openxmlformats.org/officeDocument/2006/relationships/numbering" Target="numbering.xml"/><Relationship Id="rId21" Type="http://schemas.openxmlformats.org/officeDocument/2006/relationships/hyperlink" Target="https://www.youtube.com/c/aprenpt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2p.inegi.up.pt/?Lang=PT" TargetMode="External"/><Relationship Id="rId17" Type="http://schemas.openxmlformats.org/officeDocument/2006/relationships/hyperlink" Target="https://www.instagram.com/apren.pt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egi.pt/pt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x.com/APRENpt" TargetMode="External"/><Relationship Id="rId23" Type="http://schemas.openxmlformats.org/officeDocument/2006/relationships/hyperlink" Target="mailto:agouveia@inegi.up.pt" TargetMode="External"/><Relationship Id="rId10" Type="http://schemas.openxmlformats.org/officeDocument/2006/relationships/hyperlink" Target="https://www.apren.pt/" TargetMode="External"/><Relationship Id="rId19" Type="http://schemas.openxmlformats.org/officeDocument/2006/relationships/hyperlink" Target="https://www.facebook.com/aprenpt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j+QeDjBxd09EsCG86p4zgfm9aA==">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73D1C2-06CC-4020-B755-14E56F619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852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Carvalheda</dc:creator>
  <cp:keywords/>
  <dc:description/>
  <cp:lastModifiedBy>Diogo Carvalheda</cp:lastModifiedBy>
  <cp:revision>2</cp:revision>
  <dcterms:created xsi:type="dcterms:W3CDTF">2025-06-12T11:08:00Z</dcterms:created>
  <dcterms:modified xsi:type="dcterms:W3CDTF">2025-06-12T11:08:00Z</dcterms:modified>
</cp:coreProperties>
</file>